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63789F">
        <w:rPr>
          <w:rFonts w:ascii="Arial" w:hAnsi="Arial" w:cs="Arial"/>
        </w:rPr>
        <w:t>653</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F85EFE" w:rsidRDefault="00F85EFE" w:rsidP="0063789F">
      <w:pPr>
        <w:pStyle w:val="StandardWeb"/>
        <w:spacing w:line="360" w:lineRule="auto"/>
        <w:rPr>
          <w:rFonts w:ascii="Arial" w:hAnsi="Arial" w:cs="Arial"/>
          <w:b/>
          <w:sz w:val="32"/>
          <w:szCs w:val="32"/>
        </w:rPr>
      </w:pPr>
      <w:r w:rsidRPr="00F85EFE">
        <w:rPr>
          <w:rFonts w:ascii="Arial" w:hAnsi="Arial" w:cs="Arial"/>
          <w:b/>
          <w:sz w:val="32"/>
          <w:szCs w:val="32"/>
        </w:rPr>
        <w:t>Funktionserweiterung zur Oberflächeninspektion</w:t>
      </w:r>
    </w:p>
    <w:p w:rsidR="00F85EFE" w:rsidRDefault="00F85EFE" w:rsidP="00F85EFE">
      <w:pPr>
        <w:pStyle w:val="StandardWeb"/>
        <w:spacing w:line="360" w:lineRule="auto"/>
        <w:rPr>
          <w:rFonts w:ascii="Arial" w:hAnsi="Arial" w:cs="Arial"/>
          <w:b/>
          <w:sz w:val="22"/>
          <w:szCs w:val="22"/>
        </w:rPr>
      </w:pPr>
      <w:r w:rsidRPr="00F85EFE">
        <w:rPr>
          <w:rFonts w:ascii="Arial" w:hAnsi="Arial" w:cs="Arial"/>
          <w:b/>
          <w:sz w:val="22"/>
          <w:szCs w:val="22"/>
        </w:rPr>
        <w:t>Das Softwaretool 3DInspect steht ab sofort in der Version 3.0 zur Verfügu</w:t>
      </w:r>
      <w:r>
        <w:rPr>
          <w:rFonts w:ascii="Arial" w:hAnsi="Arial" w:cs="Arial"/>
          <w:b/>
          <w:sz w:val="22"/>
          <w:szCs w:val="22"/>
        </w:rPr>
        <w:t xml:space="preserve">ng. Wichtigste Neuerung ist die </w:t>
      </w:r>
      <w:r w:rsidRPr="00F85EFE">
        <w:rPr>
          <w:rFonts w:ascii="Arial" w:hAnsi="Arial" w:cs="Arial"/>
          <w:b/>
          <w:sz w:val="22"/>
          <w:szCs w:val="22"/>
        </w:rPr>
        <w:t>Funktionserweiterung „Oberflächeninspektion“. Damit ist es nun möglich, Oberflächenabweichung</w:t>
      </w:r>
      <w:r>
        <w:rPr>
          <w:rFonts w:ascii="Arial" w:hAnsi="Arial" w:cs="Arial"/>
          <w:b/>
          <w:sz w:val="22"/>
          <w:szCs w:val="22"/>
        </w:rPr>
        <w:t>en zu erkennen und auszuwerten.</w:t>
      </w:r>
    </w:p>
    <w:p w:rsidR="00F85EFE" w:rsidRPr="00F85EFE" w:rsidRDefault="00F85EFE" w:rsidP="00F85EFE">
      <w:pPr>
        <w:pStyle w:val="StandardWeb"/>
        <w:spacing w:line="360" w:lineRule="auto"/>
        <w:rPr>
          <w:rFonts w:ascii="Arial" w:hAnsi="Arial" w:cs="Arial"/>
          <w:sz w:val="22"/>
          <w:szCs w:val="22"/>
        </w:rPr>
      </w:pPr>
      <w:r w:rsidRPr="00F85EFE">
        <w:rPr>
          <w:rFonts w:ascii="Arial" w:hAnsi="Arial" w:cs="Arial"/>
          <w:sz w:val="22"/>
          <w:szCs w:val="22"/>
        </w:rPr>
        <w:t>3DInspect ist ein benutzerfreundliches Softwaretool für alle 3D-Sensoren von Micro-Epsilon. Ab sofort steht die Software in der Version 3.0 zur Verfügung. Mit der Funktionserweiterung zur Oberflächeninspektion ist es möglich, die Abweichungen von einer homogenen Fläche zu erkennen. Somit lässt sich 3DInspect zur digitalen Qualitätskontrolle verwenden. Die Prüfung erfolgt nach vorgegebenen Kriterien, wodurch subjektive Einflüsse entfallen. Dadurch ist eine frühz</w:t>
      </w:r>
      <w:r>
        <w:rPr>
          <w:rFonts w:ascii="Arial" w:hAnsi="Arial" w:cs="Arial"/>
          <w:sz w:val="22"/>
          <w:szCs w:val="22"/>
        </w:rPr>
        <w:t>eitige Fehlererkennung möglich.</w:t>
      </w:r>
    </w:p>
    <w:p w:rsidR="00F85EFE" w:rsidRPr="00F85EFE" w:rsidRDefault="00F85EFE" w:rsidP="00F85EFE">
      <w:pPr>
        <w:pStyle w:val="StandardWeb"/>
        <w:spacing w:line="360" w:lineRule="auto"/>
        <w:rPr>
          <w:rFonts w:ascii="Arial" w:hAnsi="Arial" w:cs="Arial"/>
          <w:b/>
          <w:sz w:val="22"/>
          <w:szCs w:val="22"/>
        </w:rPr>
      </w:pPr>
      <w:r w:rsidRPr="00F85EFE">
        <w:rPr>
          <w:rFonts w:ascii="Arial" w:hAnsi="Arial" w:cs="Arial"/>
          <w:b/>
          <w:sz w:val="22"/>
          <w:szCs w:val="22"/>
        </w:rPr>
        <w:t>Formabzug</w:t>
      </w:r>
    </w:p>
    <w:p w:rsidR="00F85EFE" w:rsidRPr="00F85EFE" w:rsidRDefault="00F85EFE" w:rsidP="00F85EFE">
      <w:pPr>
        <w:pStyle w:val="StandardWeb"/>
        <w:spacing w:line="360" w:lineRule="auto"/>
        <w:rPr>
          <w:rFonts w:ascii="Arial" w:hAnsi="Arial" w:cs="Arial"/>
          <w:sz w:val="22"/>
          <w:szCs w:val="22"/>
        </w:rPr>
      </w:pPr>
      <w:r w:rsidRPr="00F85EFE">
        <w:rPr>
          <w:rFonts w:ascii="Arial" w:hAnsi="Arial" w:cs="Arial"/>
          <w:sz w:val="22"/>
          <w:szCs w:val="22"/>
        </w:rPr>
        <w:t>Für den Formabzug stehen verschiedene Funktionen zur Verfügung. Mit der Funktion „Trendabzug“ lassen sich kleine Fehler wie Dellen, Beulen, Unebenheiten oder Strukturen schnell und zuverlässig sichtbar machen. Durch den „Digitalen Abziehstein“ können Inspektionen von Serienteilen mit hoher Präzision durchgeführt werden. Der digitale Abziehstein simuliert einen Abziehstein, der im Karosseriebau verwendet wird, um homogene Oberflächen von Rohkarossen sicherzustellen. Das Anlernen eines „digitalen Masters“ ermöglicht einen Soll-Ist-Vergleich. Dabei werden ein oder mehrere IO-Teile zu einer Masterdatei zusammengeführt. Im Anschluss lassen sich die zu prüfenden Bauteile mit der hinter</w:t>
      </w:r>
      <w:r>
        <w:rPr>
          <w:rFonts w:ascii="Arial" w:hAnsi="Arial" w:cs="Arial"/>
          <w:sz w:val="22"/>
          <w:szCs w:val="22"/>
        </w:rPr>
        <w:t>legten Masterdatei vergleichen.</w:t>
      </w:r>
    </w:p>
    <w:p w:rsidR="00F85EFE" w:rsidRDefault="00F85EFE" w:rsidP="00F85EFE">
      <w:pPr>
        <w:pStyle w:val="StandardWeb"/>
        <w:spacing w:line="360" w:lineRule="auto"/>
        <w:rPr>
          <w:rFonts w:ascii="Arial" w:hAnsi="Arial" w:cs="Arial"/>
          <w:b/>
          <w:sz w:val="22"/>
          <w:szCs w:val="22"/>
        </w:rPr>
      </w:pPr>
    </w:p>
    <w:p w:rsidR="00F85EFE" w:rsidRDefault="00F85EFE" w:rsidP="00F85EFE">
      <w:pPr>
        <w:pStyle w:val="StandardWeb"/>
        <w:spacing w:line="360" w:lineRule="auto"/>
        <w:rPr>
          <w:rFonts w:ascii="Arial" w:hAnsi="Arial" w:cs="Arial"/>
          <w:b/>
          <w:sz w:val="22"/>
          <w:szCs w:val="22"/>
        </w:rPr>
      </w:pPr>
    </w:p>
    <w:p w:rsidR="00F85EFE" w:rsidRDefault="00F85EFE" w:rsidP="00F85EFE">
      <w:pPr>
        <w:pStyle w:val="StandardWeb"/>
        <w:spacing w:line="360" w:lineRule="auto"/>
        <w:rPr>
          <w:rFonts w:ascii="Arial" w:hAnsi="Arial" w:cs="Arial"/>
          <w:b/>
          <w:sz w:val="22"/>
          <w:szCs w:val="22"/>
        </w:rPr>
      </w:pPr>
    </w:p>
    <w:p w:rsidR="00F85EFE" w:rsidRPr="00F85EFE" w:rsidRDefault="00F85EFE" w:rsidP="00F85EFE">
      <w:pPr>
        <w:pStyle w:val="StandardWeb"/>
        <w:spacing w:line="360" w:lineRule="auto"/>
        <w:rPr>
          <w:rFonts w:ascii="Arial" w:hAnsi="Arial" w:cs="Arial"/>
          <w:b/>
          <w:sz w:val="22"/>
          <w:szCs w:val="22"/>
        </w:rPr>
      </w:pPr>
      <w:r w:rsidRPr="00F85EFE">
        <w:rPr>
          <w:rFonts w:ascii="Arial" w:hAnsi="Arial" w:cs="Arial"/>
          <w:b/>
          <w:sz w:val="22"/>
          <w:szCs w:val="22"/>
        </w:rPr>
        <w:t>Weitere Neuerungen</w:t>
      </w:r>
    </w:p>
    <w:p w:rsidR="00F85EFE" w:rsidRPr="00F85EFE" w:rsidRDefault="00F85EFE" w:rsidP="00F85EFE">
      <w:pPr>
        <w:pStyle w:val="StandardWeb"/>
        <w:spacing w:line="360" w:lineRule="auto"/>
        <w:rPr>
          <w:rFonts w:ascii="Arial" w:hAnsi="Arial" w:cs="Arial"/>
          <w:sz w:val="22"/>
          <w:szCs w:val="22"/>
        </w:rPr>
      </w:pPr>
      <w:r w:rsidRPr="00F85EFE">
        <w:rPr>
          <w:rFonts w:ascii="Arial" w:hAnsi="Arial" w:cs="Arial"/>
          <w:sz w:val="22"/>
          <w:szCs w:val="22"/>
        </w:rPr>
        <w:t>Ein weiteres nützliches Feature ist das Sortieren und Zählen von Erhöhungen und Vertiefungen. Dies ist beispielsweise bei der automatischen Pin-Erkennung vorteilhaft, da Pin-Längen innerhalb eines definierten Bereichs als</w:t>
      </w:r>
      <w:r>
        <w:rPr>
          <w:rFonts w:ascii="Arial" w:hAnsi="Arial" w:cs="Arial"/>
          <w:sz w:val="22"/>
          <w:szCs w:val="22"/>
        </w:rPr>
        <w:t xml:space="preserve"> OK/NOK bewertet werden können.</w:t>
      </w:r>
    </w:p>
    <w:p w:rsidR="00F85EFE" w:rsidRPr="00F85EFE" w:rsidRDefault="00F85EFE" w:rsidP="00F85EFE">
      <w:pPr>
        <w:pStyle w:val="StandardWeb"/>
        <w:spacing w:line="360" w:lineRule="auto"/>
        <w:rPr>
          <w:rFonts w:ascii="Arial" w:hAnsi="Arial" w:cs="Arial"/>
          <w:sz w:val="22"/>
          <w:szCs w:val="22"/>
        </w:rPr>
      </w:pPr>
      <w:r w:rsidRPr="00F85EFE">
        <w:rPr>
          <w:rFonts w:ascii="Arial" w:hAnsi="Arial" w:cs="Arial"/>
          <w:sz w:val="22"/>
          <w:szCs w:val="22"/>
        </w:rPr>
        <w:t>Die wicht</w:t>
      </w:r>
      <w:r>
        <w:rPr>
          <w:rFonts w:ascii="Arial" w:hAnsi="Arial" w:cs="Arial"/>
          <w:sz w:val="22"/>
          <w:szCs w:val="22"/>
        </w:rPr>
        <w:t>igsten Neuerungen im Überblick:</w:t>
      </w:r>
    </w:p>
    <w:p w:rsidR="00F85EFE" w:rsidRPr="00F85EFE" w:rsidRDefault="00F85EFE" w:rsidP="00F85EFE">
      <w:pPr>
        <w:pStyle w:val="StandardWeb"/>
        <w:numPr>
          <w:ilvl w:val="0"/>
          <w:numId w:val="1"/>
        </w:numPr>
        <w:spacing w:line="360" w:lineRule="auto"/>
        <w:rPr>
          <w:rFonts w:ascii="Arial" w:hAnsi="Arial" w:cs="Arial"/>
          <w:sz w:val="22"/>
          <w:szCs w:val="22"/>
        </w:rPr>
      </w:pPr>
      <w:r w:rsidRPr="00F85EFE">
        <w:rPr>
          <w:rFonts w:ascii="Arial" w:hAnsi="Arial" w:cs="Arial"/>
          <w:sz w:val="22"/>
          <w:szCs w:val="22"/>
        </w:rPr>
        <w:t>Trendabzug, Digitaler Abziehstein und Digitaler Master zur Oberflächeninspektion</w:t>
      </w:r>
    </w:p>
    <w:p w:rsidR="00F85EFE" w:rsidRPr="00F85EFE" w:rsidRDefault="00F85EFE" w:rsidP="00F85EFE">
      <w:pPr>
        <w:pStyle w:val="StandardWeb"/>
        <w:numPr>
          <w:ilvl w:val="0"/>
          <w:numId w:val="1"/>
        </w:numPr>
        <w:spacing w:line="360" w:lineRule="auto"/>
        <w:rPr>
          <w:rFonts w:ascii="Arial" w:hAnsi="Arial" w:cs="Arial"/>
          <w:sz w:val="22"/>
          <w:szCs w:val="22"/>
        </w:rPr>
      </w:pPr>
      <w:r w:rsidRPr="00F85EFE">
        <w:rPr>
          <w:rFonts w:ascii="Arial" w:hAnsi="Arial" w:cs="Arial"/>
          <w:sz w:val="22"/>
          <w:szCs w:val="22"/>
        </w:rPr>
        <w:t>Defekterkennung mit Sortier- und Zählfunktion</w:t>
      </w:r>
    </w:p>
    <w:p w:rsidR="00F85EFE" w:rsidRPr="00F85EFE" w:rsidRDefault="00F85EFE" w:rsidP="00F85EFE">
      <w:pPr>
        <w:pStyle w:val="StandardWeb"/>
        <w:numPr>
          <w:ilvl w:val="0"/>
          <w:numId w:val="1"/>
        </w:numPr>
        <w:spacing w:line="360" w:lineRule="auto"/>
        <w:rPr>
          <w:rFonts w:ascii="Arial" w:hAnsi="Arial" w:cs="Arial"/>
          <w:sz w:val="22"/>
          <w:szCs w:val="22"/>
        </w:rPr>
      </w:pPr>
      <w:r w:rsidRPr="00F85EFE">
        <w:rPr>
          <w:rFonts w:ascii="Arial" w:hAnsi="Arial" w:cs="Arial"/>
          <w:sz w:val="22"/>
          <w:szCs w:val="22"/>
        </w:rPr>
        <w:t>Ausrichtung der 3D-Punktewolke</w:t>
      </w:r>
    </w:p>
    <w:p w:rsidR="00F85EFE" w:rsidRDefault="00F85EFE" w:rsidP="00F85EFE">
      <w:pPr>
        <w:pStyle w:val="StandardWeb"/>
        <w:numPr>
          <w:ilvl w:val="0"/>
          <w:numId w:val="1"/>
        </w:numPr>
        <w:spacing w:line="360" w:lineRule="auto"/>
        <w:rPr>
          <w:rFonts w:ascii="Arial" w:hAnsi="Arial" w:cs="Arial"/>
          <w:sz w:val="22"/>
          <w:szCs w:val="22"/>
        </w:rPr>
      </w:pPr>
      <w:r w:rsidRPr="00F85EFE">
        <w:rPr>
          <w:rFonts w:ascii="Arial" w:hAnsi="Arial" w:cs="Arial"/>
          <w:sz w:val="22"/>
          <w:szCs w:val="22"/>
        </w:rPr>
        <w:t>Abwicklung Zylinder und Kugel</w:t>
      </w:r>
    </w:p>
    <w:p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F85EFE">
        <w:rPr>
          <w:rFonts w:ascii="Arial" w:hAnsi="Arial" w:cs="Arial"/>
          <w:i/>
          <w:sz w:val="22"/>
          <w:szCs w:val="22"/>
          <w:lang w:eastAsia="en-US"/>
        </w:rPr>
        <w:t>2.000</w:t>
      </w:r>
      <w:r w:rsidR="00692B79" w:rsidRPr="002F426A">
        <w:rPr>
          <w:rFonts w:ascii="Arial" w:hAnsi="Arial" w:cs="Arial"/>
          <w:i/>
          <w:sz w:val="22"/>
          <w:szCs w:val="22"/>
          <w:lang w:eastAsia="en-US"/>
        </w:rPr>
        <w:t xml:space="preserve"> Zeichen</w:t>
      </w:r>
    </w:p>
    <w:p w:rsidR="006256DF" w:rsidRPr="00821EEF" w:rsidRDefault="00F85EFE" w:rsidP="00937FED">
      <w:pPr>
        <w:pStyle w:val="StandardWeb"/>
        <w:spacing w:line="360" w:lineRule="auto"/>
        <w:rPr>
          <w:rFonts w:ascii="Arial" w:hAnsi="Arial"/>
          <w:sz w:val="22"/>
          <w:szCs w:val="22"/>
        </w:rPr>
      </w:pPr>
      <w:r>
        <w:rPr>
          <w:rFonts w:ascii="Arial" w:hAnsi="Arial"/>
          <w:noProof/>
          <w:sz w:val="22"/>
          <w:szCs w:val="22"/>
        </w:rPr>
        <w:drawing>
          <wp:inline distT="0" distB="0" distL="0" distR="0">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656_3DInspect_3_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C6659B" w:rsidRPr="00821EEF">
        <w:rPr>
          <w:rFonts w:ascii="Arial" w:hAnsi="Arial"/>
          <w:sz w:val="22"/>
          <w:szCs w:val="22"/>
        </w:rPr>
        <w:t xml:space="preserve"> (</w:t>
      </w:r>
      <w:r w:rsidR="00C535CB" w:rsidRPr="00C535CB">
        <w:rPr>
          <w:rFonts w:ascii="Arial" w:hAnsi="Arial" w:cs="Arial"/>
          <w:sz w:val="22"/>
          <w:szCs w:val="22"/>
          <w:shd w:val="clear" w:color="auto" w:fill="FFFFFF"/>
        </w:rPr>
        <w:t>PR653_3DInspect-3-0</w:t>
      </w:r>
      <w:r w:rsidR="001F1F0C">
        <w:rPr>
          <w:rFonts w:ascii="Arial" w:hAnsi="Arial" w:cs="Arial"/>
          <w:sz w:val="22"/>
          <w:szCs w:val="22"/>
          <w:shd w:val="clear" w:color="auto" w:fill="FFFFFF"/>
        </w:rPr>
        <w:t>.jpg</w:t>
      </w:r>
      <w:r w:rsidR="006256DF" w:rsidRPr="00821EEF">
        <w:rPr>
          <w:rFonts w:ascii="Arial" w:hAnsi="Arial" w:cs="Arial"/>
          <w:sz w:val="22"/>
          <w:szCs w:val="22"/>
        </w:rPr>
        <w:t>)</w:t>
      </w:r>
      <w:bookmarkStart w:id="0" w:name="_GoBack"/>
      <w:bookmarkEnd w:id="0"/>
    </w:p>
    <w:sectPr w:rsidR="006256DF" w:rsidRPr="00821EEF"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C535CB"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C535CB"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C535CB"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C535CB"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F85EFE"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F85EFE"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F85EFE"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F85EFE"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C535CB"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092337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E477E"/>
    <w:multiLevelType w:val="hybridMultilevel"/>
    <w:tmpl w:val="C6D455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35CB"/>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001F3"/>
    <w:rsid w:val="00D105AB"/>
    <w:rsid w:val="00D332A1"/>
    <w:rsid w:val="00D377D6"/>
    <w:rsid w:val="00D44056"/>
    <w:rsid w:val="00D444B6"/>
    <w:rsid w:val="00D4781B"/>
    <w:rsid w:val="00D52282"/>
    <w:rsid w:val="00D73B30"/>
    <w:rsid w:val="00D74C5E"/>
    <w:rsid w:val="00D80769"/>
    <w:rsid w:val="00D808C2"/>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EFE"/>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352415518">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1802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30</cp:revision>
  <dcterms:created xsi:type="dcterms:W3CDTF">2025-03-20T12:09:00Z</dcterms:created>
  <dcterms:modified xsi:type="dcterms:W3CDTF">2025-10-02T13:16:00Z</dcterms:modified>
</cp:coreProperties>
</file>