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B02942" w:rsidRDefault="00692B79" w:rsidP="00692B79">
      <w:pPr>
        <w:rPr>
          <w:rFonts w:ascii="Arial" w:hAnsi="Arial" w:cs="Arial"/>
          <w:lang w:val="fr-FR"/>
        </w:rPr>
      </w:pPr>
      <w:r w:rsidRPr="00B02942">
        <w:rPr>
          <w:rFonts w:ascii="Arial" w:hAnsi="Arial" w:cs="Arial"/>
          <w:lang w:val="fr-FR"/>
        </w:rPr>
        <w:t xml:space="preserve">Communiqué de presse </w:t>
      </w:r>
    </w:p>
    <w:p w14:paraId="7DFAD283" w14:textId="12637408" w:rsidR="00692B79" w:rsidRPr="00B02942" w:rsidRDefault="00692B79" w:rsidP="00692B79">
      <w:pPr>
        <w:rPr>
          <w:rFonts w:ascii="Arial" w:hAnsi="Arial" w:cs="Arial"/>
          <w:lang w:val="fr-FR"/>
        </w:rPr>
      </w:pPr>
      <w:r w:rsidRPr="00B02942">
        <w:rPr>
          <w:rFonts w:ascii="Arial" w:hAnsi="Arial" w:cs="Arial"/>
          <w:lang w:val="fr-FR"/>
        </w:rPr>
        <w:t>N° 660f</w:t>
      </w:r>
      <w:r w:rsidRPr="00B02942">
        <w:rPr>
          <w:rFonts w:ascii="Arial" w:hAnsi="Arial" w:cs="Arial"/>
          <w:lang w:val="fr-FR"/>
        </w:rPr>
        <w:tab/>
      </w:r>
      <w:r w:rsidRPr="00B02942">
        <w:rPr>
          <w:rFonts w:ascii="Arial" w:hAnsi="Arial" w:cs="Arial"/>
          <w:lang w:val="fr-FR"/>
        </w:rPr>
        <w:tab/>
      </w:r>
      <w:r w:rsidRPr="00B02942">
        <w:rPr>
          <w:rFonts w:ascii="Arial" w:hAnsi="Arial" w:cs="Arial"/>
          <w:lang w:val="fr-FR"/>
        </w:rPr>
        <w:tab/>
      </w:r>
      <w:r w:rsidRPr="00B02942">
        <w:rPr>
          <w:rFonts w:ascii="Arial" w:hAnsi="Arial" w:cs="Arial"/>
          <w:lang w:val="fr-FR"/>
        </w:rPr>
        <w:tab/>
        <w:t xml:space="preserve"> </w:t>
      </w:r>
    </w:p>
    <w:p w14:paraId="1A6AF8D5" w14:textId="77777777" w:rsidR="00692B79" w:rsidRPr="00B02942" w:rsidRDefault="00692B79" w:rsidP="00692B79">
      <w:pPr>
        <w:spacing w:line="360" w:lineRule="auto"/>
        <w:rPr>
          <w:rFonts w:ascii="Arial" w:hAnsi="Arial" w:cs="Arial"/>
          <w:b/>
          <w:sz w:val="28"/>
          <w:szCs w:val="28"/>
          <w:lang w:val="fr-FR" w:eastAsia="en-US"/>
        </w:rPr>
      </w:pPr>
    </w:p>
    <w:p w14:paraId="3339A566" w14:textId="77777777" w:rsidR="00F322BE" w:rsidRPr="00B02942" w:rsidRDefault="00F322BE" w:rsidP="00F322BE">
      <w:pPr>
        <w:pStyle w:val="StandardWeb"/>
        <w:spacing w:line="360" w:lineRule="auto"/>
        <w:rPr>
          <w:rFonts w:ascii="Arial" w:hAnsi="Arial" w:cs="Arial"/>
          <w:b/>
          <w:bCs/>
          <w:sz w:val="32"/>
          <w:szCs w:val="32"/>
          <w:lang w:val="fr-FR"/>
        </w:rPr>
      </w:pPr>
      <w:r w:rsidRPr="00B02942">
        <w:rPr>
          <w:rFonts w:ascii="Arial" w:hAnsi="Arial" w:cs="Arial"/>
          <w:b/>
          <w:bCs/>
          <w:sz w:val="32"/>
          <w:szCs w:val="32"/>
          <w:lang w:val="fr-FR"/>
        </w:rPr>
        <w:t>De nouvelles possibilités en technique de mesure confocale</w:t>
      </w:r>
    </w:p>
    <w:p w14:paraId="5E7A2C26" w14:textId="56ADAF38" w:rsidR="00F322BE" w:rsidRPr="00B02942" w:rsidRDefault="00F322BE" w:rsidP="002071AB">
      <w:pPr>
        <w:pStyle w:val="StandardWeb"/>
        <w:spacing w:line="360" w:lineRule="auto"/>
        <w:rPr>
          <w:rFonts w:ascii="Arial" w:hAnsi="Arial" w:cs="Arial"/>
          <w:b/>
          <w:sz w:val="22"/>
          <w:szCs w:val="22"/>
          <w:lang w:val="fr-FR"/>
        </w:rPr>
      </w:pPr>
      <w:r w:rsidRPr="00B02942">
        <w:rPr>
          <w:rFonts w:ascii="Arial" w:hAnsi="Arial" w:cs="Arial"/>
          <w:b/>
          <w:sz w:val="22"/>
          <w:szCs w:val="22"/>
          <w:lang w:val="fr-FR"/>
        </w:rPr>
        <w:t>Avec les nouveaux contrôleurs confocalDT IFC2412 et IFC2417 à 2 canaux ainsi qu'avec les systèmes de capteurs IFD2410/2415 dotés d'une sortie de données Ethernet, Micro-Epsilon élargit sa gamme de produits confocaux destinés aux applications industrielles exigeantes. Ces contrôleurs compacts allient une précision maximale à une construction robuste, et conviennent parfaitement à la production industrielle en série.</w:t>
      </w:r>
    </w:p>
    <w:p w14:paraId="44861ADD" w14:textId="77777777" w:rsidR="00F322BE" w:rsidRPr="00B02942" w:rsidRDefault="00F322BE" w:rsidP="00F322BE">
      <w:pPr>
        <w:pStyle w:val="StandardWeb"/>
        <w:spacing w:line="360" w:lineRule="auto"/>
        <w:rPr>
          <w:rFonts w:ascii="Arial" w:hAnsi="Arial" w:cs="Arial"/>
          <w:sz w:val="22"/>
          <w:szCs w:val="22"/>
          <w:lang w:val="fr-FR"/>
        </w:rPr>
      </w:pPr>
      <w:r w:rsidRPr="00B02942">
        <w:rPr>
          <w:rFonts w:ascii="Arial" w:hAnsi="Arial" w:cs="Arial"/>
          <w:sz w:val="22"/>
          <w:szCs w:val="22"/>
          <w:lang w:val="fr-FR"/>
        </w:rPr>
        <w:t>La gamme de capteurs confocaux à codage chromatique de Micro-Epsilon compte parmi les plus complets et les plus performants du marché mondial. Avec les nouveaux contrôleurs confocaux à codage chromatique IFC2412 et IFC2417, les utilisateurs disposent dès à présent de variantes performantes à 2 canaux des modèles IFC2411 et IFC2416. Grâce à des fonctions de calcul intégrées, ces nouveaux contrôleurs à 2 canaux permettent une mesure d'épaisseur bilatérale avec un seul contrôleur et élargissent le spectre des applications, notamment pour des secteurs tels que la fabrication de semi-conducteurs, la production de cellules de batterie ainsi que pour les opérations de contrôle optique en construction mécanique.</w:t>
      </w:r>
    </w:p>
    <w:p w14:paraId="67C157FD" w14:textId="3B86BAA4" w:rsidR="00F322BE" w:rsidRPr="00B02942" w:rsidRDefault="00F322BE" w:rsidP="00F322BE">
      <w:pPr>
        <w:pStyle w:val="StandardWeb"/>
        <w:spacing w:line="360" w:lineRule="auto"/>
        <w:rPr>
          <w:rFonts w:ascii="Arial" w:hAnsi="Arial" w:cs="Arial"/>
          <w:sz w:val="22"/>
          <w:szCs w:val="22"/>
          <w:lang w:val="fr-FR"/>
        </w:rPr>
      </w:pPr>
      <w:r w:rsidRPr="00B02942">
        <w:rPr>
          <w:rFonts w:ascii="Arial" w:hAnsi="Arial" w:cs="Arial"/>
          <w:b/>
          <w:bCs/>
          <w:sz w:val="22"/>
          <w:szCs w:val="22"/>
          <w:lang w:val="fr-FR"/>
        </w:rPr>
        <w:t>Des contrôleurs à deux canaux pour les applications exigeantes</w:t>
      </w:r>
    </w:p>
    <w:p w14:paraId="43CA688F" w14:textId="77777777" w:rsidR="00B02942" w:rsidRDefault="00F322BE" w:rsidP="00F322BE">
      <w:pPr>
        <w:pStyle w:val="StandardWeb"/>
        <w:spacing w:line="360" w:lineRule="auto"/>
        <w:rPr>
          <w:rFonts w:ascii="Arial" w:hAnsi="Arial" w:cs="Arial"/>
          <w:sz w:val="22"/>
          <w:szCs w:val="22"/>
          <w:lang w:val="fr-FR"/>
        </w:rPr>
      </w:pPr>
      <w:r w:rsidRPr="00B02942">
        <w:rPr>
          <w:rFonts w:ascii="Arial" w:hAnsi="Arial" w:cs="Arial"/>
          <w:sz w:val="22"/>
          <w:szCs w:val="22"/>
          <w:lang w:val="fr-FR"/>
        </w:rPr>
        <w:t xml:space="preserve">Compact, l'IFC2412 possède deux canaux avec une fréquence de mesure réglable de 8 kHz et une résolution </w:t>
      </w:r>
      <w:proofErr w:type="spellStart"/>
      <w:r w:rsidRPr="00B02942">
        <w:rPr>
          <w:rFonts w:ascii="Arial" w:hAnsi="Arial" w:cs="Arial"/>
          <w:sz w:val="22"/>
          <w:szCs w:val="22"/>
          <w:lang w:val="fr-FR"/>
        </w:rPr>
        <w:t>submicrométrique</w:t>
      </w:r>
      <w:proofErr w:type="spellEnd"/>
      <w:r w:rsidRPr="00B02942">
        <w:rPr>
          <w:rFonts w:ascii="Arial" w:hAnsi="Arial" w:cs="Arial"/>
          <w:sz w:val="22"/>
          <w:szCs w:val="22"/>
          <w:lang w:val="fr-FR"/>
        </w:rPr>
        <w:t xml:space="preserve"> allant jusqu'à 2 nm. Puissant, l'IFC2417 fonctionne à une fréquence de mesure de 25 kHz et permet des mesures multi-pics avec jusqu'à cinq couches. </w:t>
      </w:r>
    </w:p>
    <w:p w14:paraId="4FFBD19D" w14:textId="77777777" w:rsidR="00B02942" w:rsidRDefault="00B02942" w:rsidP="00F322BE">
      <w:pPr>
        <w:pStyle w:val="StandardWeb"/>
        <w:spacing w:line="360" w:lineRule="auto"/>
        <w:rPr>
          <w:rFonts w:ascii="Arial" w:hAnsi="Arial" w:cs="Arial"/>
          <w:sz w:val="22"/>
          <w:szCs w:val="22"/>
          <w:lang w:val="fr-FR"/>
        </w:rPr>
      </w:pPr>
    </w:p>
    <w:p w14:paraId="00DA90DF" w14:textId="77777777" w:rsidR="00B02942" w:rsidRDefault="00B02942" w:rsidP="00F322BE">
      <w:pPr>
        <w:pStyle w:val="StandardWeb"/>
        <w:spacing w:line="360" w:lineRule="auto"/>
        <w:rPr>
          <w:rFonts w:ascii="Arial" w:hAnsi="Arial" w:cs="Arial"/>
          <w:sz w:val="22"/>
          <w:szCs w:val="22"/>
          <w:lang w:val="fr-FR"/>
        </w:rPr>
      </w:pPr>
    </w:p>
    <w:p w14:paraId="7F597E97" w14:textId="54769BA1" w:rsidR="00F322BE" w:rsidRPr="00B02942" w:rsidRDefault="00F322BE" w:rsidP="00F322BE">
      <w:pPr>
        <w:pStyle w:val="StandardWeb"/>
        <w:spacing w:line="360" w:lineRule="auto"/>
        <w:rPr>
          <w:rFonts w:ascii="Arial" w:hAnsi="Arial" w:cs="Arial"/>
          <w:sz w:val="22"/>
          <w:szCs w:val="22"/>
          <w:lang w:val="fr-FR"/>
        </w:rPr>
      </w:pPr>
      <w:r w:rsidRPr="00B02942">
        <w:rPr>
          <w:rFonts w:ascii="Arial" w:hAnsi="Arial" w:cs="Arial"/>
          <w:sz w:val="22"/>
          <w:szCs w:val="22"/>
          <w:lang w:val="fr-FR"/>
        </w:rPr>
        <w:t xml:space="preserve">Un contrôle actif de l'exposition de la ligne CCD assure des </w:t>
      </w:r>
      <w:proofErr w:type="gramStart"/>
      <w:r w:rsidRPr="00B02942">
        <w:rPr>
          <w:rFonts w:ascii="Arial" w:hAnsi="Arial" w:cs="Arial"/>
          <w:sz w:val="22"/>
          <w:szCs w:val="22"/>
          <w:lang w:val="fr-FR"/>
        </w:rPr>
        <w:t>résultats</w:t>
      </w:r>
      <w:proofErr w:type="gramEnd"/>
      <w:r w:rsidRPr="00B02942">
        <w:rPr>
          <w:rFonts w:ascii="Arial" w:hAnsi="Arial" w:cs="Arial"/>
          <w:sz w:val="22"/>
          <w:szCs w:val="22"/>
          <w:lang w:val="fr-FR"/>
        </w:rPr>
        <w:t xml:space="preserve"> de mesure stables avec les deux modèles, </w:t>
      </w:r>
      <w:r w:rsidRPr="00B02942">
        <w:rPr>
          <w:rFonts w:ascii="Arial" w:hAnsi="Arial" w:cs="Arial"/>
          <w:sz w:val="22"/>
          <w:szCs w:val="22"/>
          <w:lang w:val="fr-FR"/>
        </w:rPr>
        <w:lastRenderedPageBreak/>
        <w:t>même sur des surfaces difficiles. Ces contrôleurs sont équipés d'un boîtier robuste en aluminium IP40 et s'intègrent facilement dans les installations existantes grâce à leur taille extrêmement réduite. Le montage s'effectue de façon pratique sur le rail DIN dans l'armoire de commande, ce qui est parfait pour les applications OEM et la production industrielle en série.</w:t>
      </w:r>
    </w:p>
    <w:p w14:paraId="275A6676" w14:textId="77777777" w:rsidR="00F322BE" w:rsidRPr="00B02942" w:rsidRDefault="00F322BE" w:rsidP="00F322BE">
      <w:pPr>
        <w:pStyle w:val="StandardWeb"/>
        <w:spacing w:line="360" w:lineRule="auto"/>
        <w:rPr>
          <w:rFonts w:ascii="Arial" w:hAnsi="Arial" w:cs="Arial"/>
          <w:sz w:val="22"/>
          <w:szCs w:val="22"/>
          <w:lang w:val="fr-FR"/>
        </w:rPr>
      </w:pPr>
      <w:r w:rsidRPr="00B02942">
        <w:rPr>
          <w:rFonts w:ascii="Arial" w:hAnsi="Arial" w:cs="Arial"/>
          <w:b/>
          <w:bCs/>
          <w:sz w:val="22"/>
          <w:szCs w:val="22"/>
          <w:lang w:val="fr-FR"/>
        </w:rPr>
        <w:t>Systèmes de capteurs tout-en-un avec interface Ethernet</w:t>
      </w:r>
    </w:p>
    <w:p w14:paraId="74DE0F3B" w14:textId="6DB224E4" w:rsidR="00F322BE" w:rsidRPr="00B02942" w:rsidRDefault="00F322BE" w:rsidP="00F85CA6">
      <w:pPr>
        <w:pStyle w:val="StandardWeb"/>
        <w:spacing w:line="360" w:lineRule="auto"/>
        <w:rPr>
          <w:rFonts w:ascii="Arial" w:hAnsi="Arial" w:cs="Arial"/>
          <w:sz w:val="22"/>
          <w:szCs w:val="22"/>
          <w:lang w:val="fr-FR"/>
        </w:rPr>
      </w:pPr>
      <w:r w:rsidRPr="00B02942">
        <w:rPr>
          <w:rFonts w:ascii="Arial" w:hAnsi="Arial" w:cs="Arial"/>
          <w:sz w:val="22"/>
          <w:szCs w:val="22"/>
          <w:lang w:val="fr-FR"/>
        </w:rPr>
        <w:t xml:space="preserve">Les systèmes de capteurs compacts tout-en-un IFD2410 et IFD2415 sont considérés comme une référence dans leur catégorie et convainquent par leur grande précision, leur vitesse et leur stabilité, tout en étant faciles à utiliser. Dès à présent, ces systèmes sont également disponibles avec une interface Ethernet intégrée pour la transmission des données. Les valeurs mesurées peuvent ainsi être transmises directement et avec une résolution de 32 bits. Ces systèmes compacts ne nécessitent pas de fibre optique et constituent la solution idéale pour une intégration en série dans des machines et des installations. La nouvelle interface Ethernet élargit le choix des bus de terrain existants (EtherCAT, PROFINET et EtherNet/IP). Comme pour presque tous les capteurs de Micro-Epsilon, l'intégration dans les logiciels client est facilement réalisable grâce à la bibliothèque de logiciels et de pilotes </w:t>
      </w:r>
      <w:proofErr w:type="spellStart"/>
      <w:r w:rsidRPr="00B02942">
        <w:rPr>
          <w:rFonts w:ascii="Arial" w:hAnsi="Arial" w:cs="Arial"/>
          <w:sz w:val="22"/>
          <w:szCs w:val="22"/>
          <w:lang w:val="fr-FR"/>
        </w:rPr>
        <w:t>MEDAQLib</w:t>
      </w:r>
      <w:proofErr w:type="spellEnd"/>
      <w:r w:rsidRPr="00B02942">
        <w:rPr>
          <w:rFonts w:ascii="Arial" w:hAnsi="Arial" w:cs="Arial"/>
          <w:sz w:val="22"/>
          <w:szCs w:val="22"/>
          <w:lang w:val="fr-FR"/>
        </w:rPr>
        <w:t xml:space="preserve"> en libre accès.</w:t>
      </w:r>
    </w:p>
    <w:p w14:paraId="22CDE736" w14:textId="62374418" w:rsidR="00AD49A1" w:rsidRDefault="00532ED4" w:rsidP="00D73B30">
      <w:pPr>
        <w:pStyle w:val="StandardWeb"/>
        <w:spacing w:line="360" w:lineRule="auto"/>
        <w:ind w:left="3540" w:firstLine="708"/>
        <w:rPr>
          <w:rFonts w:ascii="Arial" w:hAnsi="Arial" w:cs="Arial"/>
          <w:i/>
          <w:sz w:val="22"/>
          <w:szCs w:val="22"/>
          <w:lang w:val="fr-FR"/>
        </w:rPr>
      </w:pPr>
      <w:r w:rsidRPr="00B02942">
        <w:rPr>
          <w:rFonts w:ascii="Arial" w:hAnsi="Arial" w:cs="Arial"/>
          <w:i/>
          <w:sz w:val="22"/>
          <w:szCs w:val="22"/>
          <w:lang w:val="fr-FR"/>
        </w:rPr>
        <w:t>env. 2.</w:t>
      </w:r>
      <w:r w:rsidR="00B02942">
        <w:rPr>
          <w:rFonts w:ascii="Arial" w:hAnsi="Arial" w:cs="Arial"/>
          <w:i/>
          <w:sz w:val="22"/>
          <w:szCs w:val="22"/>
          <w:lang w:val="fr-FR"/>
        </w:rPr>
        <w:t>3</w:t>
      </w:r>
      <w:r w:rsidRPr="00B02942">
        <w:rPr>
          <w:rFonts w:ascii="Arial" w:hAnsi="Arial" w:cs="Arial"/>
          <w:i/>
          <w:sz w:val="22"/>
          <w:szCs w:val="22"/>
          <w:lang w:val="fr-FR"/>
        </w:rPr>
        <w:t>00 caractères</w:t>
      </w:r>
    </w:p>
    <w:p w14:paraId="7AA61385" w14:textId="77777777" w:rsidR="00B02942" w:rsidRDefault="00B02942" w:rsidP="00D73B30">
      <w:pPr>
        <w:pStyle w:val="StandardWeb"/>
        <w:spacing w:line="360" w:lineRule="auto"/>
        <w:ind w:left="3540" w:firstLine="708"/>
        <w:rPr>
          <w:rFonts w:ascii="Arial" w:hAnsi="Arial" w:cs="Arial"/>
          <w:i/>
          <w:sz w:val="22"/>
          <w:szCs w:val="22"/>
          <w:lang w:val="fr-FR"/>
        </w:rPr>
      </w:pPr>
    </w:p>
    <w:p w14:paraId="7049F04D" w14:textId="77777777" w:rsidR="00B02942" w:rsidRDefault="00B02942" w:rsidP="00D73B30">
      <w:pPr>
        <w:pStyle w:val="StandardWeb"/>
        <w:spacing w:line="360" w:lineRule="auto"/>
        <w:ind w:left="3540" w:firstLine="708"/>
        <w:rPr>
          <w:rFonts w:ascii="Arial" w:hAnsi="Arial" w:cs="Arial"/>
          <w:i/>
          <w:sz w:val="22"/>
          <w:szCs w:val="22"/>
          <w:lang w:val="fr-FR"/>
        </w:rPr>
      </w:pPr>
    </w:p>
    <w:p w14:paraId="6877B981" w14:textId="77777777" w:rsidR="00B02942" w:rsidRDefault="00B02942" w:rsidP="00D73B30">
      <w:pPr>
        <w:pStyle w:val="StandardWeb"/>
        <w:spacing w:line="360" w:lineRule="auto"/>
        <w:ind w:left="3540" w:firstLine="708"/>
        <w:rPr>
          <w:rFonts w:ascii="Arial" w:hAnsi="Arial" w:cs="Arial"/>
          <w:i/>
          <w:sz w:val="22"/>
          <w:szCs w:val="22"/>
          <w:lang w:val="fr-FR"/>
        </w:rPr>
      </w:pPr>
    </w:p>
    <w:p w14:paraId="2E24D7D9" w14:textId="77777777" w:rsidR="00B02942" w:rsidRDefault="00B02942" w:rsidP="00D73B30">
      <w:pPr>
        <w:pStyle w:val="StandardWeb"/>
        <w:spacing w:line="360" w:lineRule="auto"/>
        <w:ind w:left="3540" w:firstLine="708"/>
        <w:rPr>
          <w:rFonts w:ascii="Arial" w:hAnsi="Arial" w:cs="Arial"/>
          <w:i/>
          <w:sz w:val="22"/>
          <w:szCs w:val="22"/>
          <w:lang w:val="fr-FR"/>
        </w:rPr>
      </w:pPr>
    </w:p>
    <w:p w14:paraId="0A608E23" w14:textId="77777777" w:rsidR="00B02942" w:rsidRDefault="00B02942" w:rsidP="00D73B30">
      <w:pPr>
        <w:pStyle w:val="StandardWeb"/>
        <w:spacing w:line="360" w:lineRule="auto"/>
        <w:ind w:left="3540" w:firstLine="708"/>
        <w:rPr>
          <w:rFonts w:ascii="Arial" w:hAnsi="Arial" w:cs="Arial"/>
          <w:i/>
          <w:sz w:val="22"/>
          <w:szCs w:val="22"/>
          <w:lang w:val="fr-FR"/>
        </w:rPr>
      </w:pPr>
    </w:p>
    <w:p w14:paraId="7D5B1840" w14:textId="77777777" w:rsidR="00B02942" w:rsidRPr="00B02942" w:rsidRDefault="00B02942" w:rsidP="00D73B30">
      <w:pPr>
        <w:pStyle w:val="StandardWeb"/>
        <w:spacing w:line="360" w:lineRule="auto"/>
        <w:ind w:left="3540" w:firstLine="708"/>
        <w:rPr>
          <w:rFonts w:ascii="Arial" w:hAnsi="Arial" w:cs="Arial"/>
          <w:i/>
          <w:sz w:val="22"/>
          <w:szCs w:val="22"/>
          <w:lang w:val="fr-FR" w:eastAsia="en-US"/>
        </w:rPr>
      </w:pPr>
    </w:p>
    <w:p w14:paraId="502BD5F0" w14:textId="0BF6D384" w:rsidR="006256DF" w:rsidRPr="00B02942" w:rsidRDefault="00F322BE" w:rsidP="00937FED">
      <w:pPr>
        <w:pStyle w:val="StandardWeb"/>
        <w:spacing w:line="360" w:lineRule="auto"/>
        <w:rPr>
          <w:rFonts w:ascii="Arial" w:hAnsi="Arial"/>
          <w:sz w:val="22"/>
          <w:szCs w:val="22"/>
          <w:lang w:val="fr-FR"/>
        </w:rPr>
      </w:pPr>
      <w:r w:rsidRPr="00B02942">
        <w:rPr>
          <w:noProof/>
          <w:lang w:val="fr-FR"/>
        </w:rPr>
        <w:lastRenderedPageBreak/>
        <w:drawing>
          <wp:inline distT="0" distB="0" distL="0" distR="0" wp14:anchorId="171D32FE" wp14:editId="5E7C3A95">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B02942">
        <w:rPr>
          <w:rFonts w:ascii="Arial" w:hAnsi="Arial"/>
          <w:sz w:val="22"/>
          <w:szCs w:val="22"/>
          <w:lang w:val="fr-FR"/>
        </w:rPr>
        <w:t xml:space="preserve"> (</w:t>
      </w:r>
      <w:r w:rsidRPr="00B02942">
        <w:rPr>
          <w:rFonts w:ascii="Arial" w:hAnsi="Arial" w:cs="Arial"/>
          <w:sz w:val="22"/>
          <w:szCs w:val="22"/>
          <w:shd w:val="clear" w:color="auto" w:fill="FFFFFF"/>
          <w:lang w:val="fr-FR"/>
        </w:rPr>
        <w:t>PR660_confocalDT_IFC2412_2417.jpg</w:t>
      </w:r>
      <w:r w:rsidRPr="00B02942">
        <w:rPr>
          <w:rFonts w:ascii="Arial" w:hAnsi="Arial" w:cs="Arial"/>
          <w:sz w:val="22"/>
          <w:szCs w:val="22"/>
          <w:lang w:val="fr-FR"/>
        </w:rPr>
        <w:t>)</w:t>
      </w:r>
    </w:p>
    <w:sectPr w:rsidR="006256DF" w:rsidRPr="00B02942" w:rsidSect="00F86DF1">
      <w:headerReference w:type="default" r:id="rId7"/>
      <w:footerReference w:type="default" r:id="rId8"/>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1" w:history="1">
                            <w:r>
                              <w:rPr>
                                <w:rStyle w:val="Hyperlink"/>
                                <w:rFonts w:ascii="Swis721 Lt BT" w:hAnsi="Swis721 Lt BT"/>
                                <w:sz w:val="12"/>
                                <w:szCs w:val="12"/>
                              </w:rPr>
                              <w:t>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Plus d’informations :</w:t>
                          </w:r>
                        </w:p>
                        <w:p w14:paraId="4AC1FA20" w14:textId="77777777" w:rsidR="005028E2" w:rsidRPr="00F86DF1" w:rsidRDefault="00B02942" w:rsidP="00F86DF1">
                          <w:pPr>
                            <w:pStyle w:val="Fuzeile"/>
                            <w:jc w:val="right"/>
                            <w:rPr>
                              <w:rFonts w:ascii="Swis721 Lt BT" w:hAnsi="Swis721 Lt BT"/>
                              <w:sz w:val="12"/>
                              <w:szCs w:val="12"/>
                            </w:rPr>
                          </w:pPr>
                          <w:hyperlink r:id="rId2" w:history="1">
                            <w:r w:rsidR="00F322BE">
                              <w:rPr>
                                <w:rStyle w:val="Hyperlink"/>
                                <w:rFonts w:ascii="Swis721 Lt BT" w:hAnsi="Swis721 Lt BT"/>
                                <w:sz w:val="12"/>
                                <w:szCs w:val="12"/>
                              </w:rPr>
                              <w:t>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3" w:history="1">
                      <w:r>
                        <w:rPr>
                          <w:rStyle w:val="Hyperlink"/>
                          <w:rFonts w:ascii="Swis721 Lt BT" w:hAnsi="Swis721 Lt BT"/>
                          <w:sz w:val="12"/>
                          <w:szCs w:val="12"/>
                        </w:rPr>
                        <w:t>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Plus d’informations :</w:t>
                    </w:r>
                  </w:p>
                  <w:p w14:paraId="4AC1FA20" w14:textId="77777777" w:rsidR="005028E2" w:rsidRPr="00F86DF1" w:rsidRDefault="00B02942" w:rsidP="00F86DF1">
                    <w:pPr>
                      <w:pStyle w:val="Fuzeile"/>
                      <w:jc w:val="right"/>
                      <w:rPr>
                        <w:rFonts w:ascii="Swis721 Lt BT" w:hAnsi="Swis721 Lt BT"/>
                        <w:sz w:val="12"/>
                        <w:szCs w:val="12"/>
                      </w:rPr>
                    </w:pPr>
                    <w:hyperlink r:id="rId4" w:history="1">
                      <w:r w:rsidR="00F322BE">
                        <w:rPr>
                          <w:rStyle w:val="Hyperlink"/>
                          <w:rFonts w:ascii="Swis721 Lt BT" w:hAnsi="Swis721 Lt BT"/>
                          <w:sz w:val="12"/>
                          <w:szCs w:val="12"/>
                        </w:rPr>
                        <w:t>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B02942"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4031216" r:id="rId2"/>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DB9"/>
    <w:rsid w:val="001C2B2E"/>
    <w:rsid w:val="001C7910"/>
    <w:rsid w:val="001E42AC"/>
    <w:rsid w:val="001F1F0C"/>
    <w:rsid w:val="001F4101"/>
    <w:rsid w:val="002071AB"/>
    <w:rsid w:val="002133BE"/>
    <w:rsid w:val="002258F0"/>
    <w:rsid w:val="00231E05"/>
    <w:rsid w:val="00276785"/>
    <w:rsid w:val="00296AA5"/>
    <w:rsid w:val="00296B2D"/>
    <w:rsid w:val="002A3DF9"/>
    <w:rsid w:val="002B6147"/>
    <w:rsid w:val="002C0F7E"/>
    <w:rsid w:val="002C3431"/>
    <w:rsid w:val="002C3636"/>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4B67"/>
    <w:rsid w:val="007B7F3D"/>
    <w:rsid w:val="007C3D8F"/>
    <w:rsid w:val="007D5519"/>
    <w:rsid w:val="007D7754"/>
    <w:rsid w:val="007E3338"/>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C68F7"/>
    <w:rsid w:val="009E6FBB"/>
    <w:rsid w:val="009F014C"/>
    <w:rsid w:val="009F51B7"/>
    <w:rsid w:val="009F7341"/>
    <w:rsid w:val="009F7418"/>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5B8F"/>
    <w:rsid w:val="00B02942"/>
    <w:rsid w:val="00B068B5"/>
    <w:rsid w:val="00B12615"/>
    <w:rsid w:val="00B13F83"/>
    <w:rsid w:val="00B20002"/>
    <w:rsid w:val="00B36411"/>
    <w:rsid w:val="00B40474"/>
    <w:rsid w:val="00B51196"/>
    <w:rsid w:val="00B70545"/>
    <w:rsid w:val="00B753BE"/>
    <w:rsid w:val="00B908A7"/>
    <w:rsid w:val="00B9524F"/>
    <w:rsid w:val="00BB3C44"/>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fr" TargetMode="External"/><Relationship Id="rId2" Type="http://schemas.openxmlformats.org/officeDocument/2006/relationships/hyperlink" Target="http://www.micro-epsilon.fr/press" TargetMode="External"/><Relationship Id="rId1" Type="http://schemas.openxmlformats.org/officeDocument/2006/relationships/hyperlink" Target="http://www.micro-epsilon.fr" TargetMode="External"/><Relationship Id="rId4" Type="http://schemas.openxmlformats.org/officeDocument/2006/relationships/hyperlink" Target="http://www.micro-epsilon.fr/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2672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2026-03-03T07:20:00Z</dcterms:created>
  <dcterms:modified xsi:type="dcterms:W3CDTF">2026-03-03T07:20:00Z</dcterms:modified>
</cp:coreProperties>
</file>